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276"/>
        <w:gridCol w:w="1714"/>
        <w:gridCol w:w="1296"/>
        <w:gridCol w:w="5106"/>
        <w:gridCol w:w="1488"/>
      </w:tblGrid>
      <w:tr w:rsidR="004A6D59" w:rsidRPr="004A6D59" w:rsidTr="004A6D59">
        <w:trPr>
          <w:trHeight w:val="255"/>
        </w:trPr>
        <w:tc>
          <w:tcPr>
            <w:tcW w:w="1276" w:type="dxa"/>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Level</w:t>
            </w:r>
          </w:p>
        </w:tc>
        <w:tc>
          <w:tcPr>
            <w:tcW w:w="1714" w:type="dxa"/>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p>
        </w:tc>
        <w:tc>
          <w:tcPr>
            <w:tcW w:w="6402" w:type="dxa"/>
            <w:gridSpan w:val="2"/>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Kabupaten Kapuas Hulu</w:t>
            </w:r>
          </w:p>
        </w:tc>
        <w:tc>
          <w:tcPr>
            <w:tcW w:w="1488" w:type="dxa"/>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255"/>
        </w:trPr>
        <w:tc>
          <w:tcPr>
            <w:tcW w:w="2990" w:type="dxa"/>
            <w:gridSpan w:val="2"/>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Komponen</w:t>
            </w:r>
          </w:p>
        </w:tc>
        <w:tc>
          <w:tcPr>
            <w:tcW w:w="6402" w:type="dxa"/>
            <w:gridSpan w:val="2"/>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A. Hukum dan Kebijakan</w:t>
            </w:r>
          </w:p>
        </w:tc>
        <w:tc>
          <w:tcPr>
            <w:tcW w:w="1488" w:type="dxa"/>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255"/>
        </w:trPr>
        <w:tc>
          <w:tcPr>
            <w:tcW w:w="1276" w:type="dxa"/>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714" w:type="dxa"/>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296" w:type="dxa"/>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106" w:type="dxa"/>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488" w:type="dxa"/>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255"/>
        </w:trPr>
        <w:tc>
          <w:tcPr>
            <w:tcW w:w="2990" w:type="dxa"/>
            <w:gridSpan w:val="2"/>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Isu dalam PGA REDD+</w:t>
            </w:r>
          </w:p>
        </w:tc>
        <w:tc>
          <w:tcPr>
            <w:tcW w:w="6402" w:type="dxa"/>
            <w:gridSpan w:val="2"/>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I. Perencanaan Kehutanan dan Tata Ruang </w:t>
            </w:r>
          </w:p>
        </w:tc>
        <w:tc>
          <w:tcPr>
            <w:tcW w:w="1488" w:type="dxa"/>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510"/>
        </w:trPr>
        <w:tc>
          <w:tcPr>
            <w:tcW w:w="2990" w:type="dxa"/>
            <w:gridSpan w:val="2"/>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7890" w:type="dxa"/>
            <w:gridSpan w:val="3"/>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4A6D59" w:rsidRPr="004A6D59" w:rsidTr="004A6D59">
        <w:trPr>
          <w:trHeight w:val="975"/>
        </w:trPr>
        <w:tc>
          <w:tcPr>
            <w:tcW w:w="2990" w:type="dxa"/>
            <w:gridSpan w:val="2"/>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Objek Analisis</w:t>
            </w:r>
          </w:p>
        </w:tc>
        <w:tc>
          <w:tcPr>
            <w:tcW w:w="7890" w:type="dxa"/>
            <w:gridSpan w:val="3"/>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1250" w:type="pct"/>
        <w:tblInd w:w="103" w:type="dxa"/>
        <w:tblLook w:val="04A0"/>
      </w:tblPr>
      <w:tblGrid>
        <w:gridCol w:w="732"/>
        <w:gridCol w:w="2301"/>
        <w:gridCol w:w="1279"/>
        <w:gridCol w:w="5052"/>
        <w:gridCol w:w="1521"/>
      </w:tblGrid>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AIa1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Data/informasi pembuatan RTRW</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data/informasi pembuatan RTRW. Bappeda selaku leading sector penyusunan RTRW, masih mengacu kepada Peraturan Menteri PU</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AIa2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Informasi rencana pembentukan RTRW(P)</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informasi rencana pembentukan RTRW</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AIa3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Pengumuman usulan perubahan peruntukan</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Pengumuman usulan perubahan peruntukan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AIa4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Kejelasan informasi  yang dapat diakses berdasarkan uji konsekuensi</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kejelasan informasi yang dapat diakses berdasarkan uji konsekuensi</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6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4A6D59" w:rsidRPr="004A6D59" w:rsidTr="004A6D59">
        <w:trPr>
          <w:trHeight w:val="103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Objek Analisis</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AIb1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pengambilan keputusan yang memudahkan keterlibatan pihak yang berkepentingan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AIb2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Petugas khusus yang bertanggung jawab mengelola masukan publik</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petugas khusus yang bertanggung jawab mengelola masukan publik</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AIb3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Dokumentasi setiap masukan (tertulis/tidak tertulis)</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dokumentasi setiap masukan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AIb4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respon terhadap masukan yang ada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respon terhadap masukan yang ada</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AIb5</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Penjelasan atas keputusan akhir yang diambil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penjelasan atas keputusan akhir yang diambil</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5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AIb6</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Pelaksanaan proses partisipasi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Tidak ada aturan lokal baik itu Perda, Perbub, SK Bupati, Juklak-Juknis yang terkait dengan pelaksanaan proses </w:t>
            </w:r>
            <w:r w:rsidRPr="004A6D59">
              <w:rPr>
                <w:rFonts w:ascii="Times New Roman" w:eastAsia="Times New Roman" w:hAnsi="Times New Roman" w:cs="Times New Roman"/>
                <w:sz w:val="20"/>
                <w:szCs w:val="20"/>
                <w:lang w:eastAsia="id-ID"/>
              </w:rPr>
              <w:lastRenderedPageBreak/>
              <w:t>partisipasi</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lastRenderedPageBreak/>
              <w:t>1</w:t>
            </w:r>
          </w:p>
        </w:tc>
      </w:tr>
      <w:tr w:rsidR="004A6D59" w:rsidRPr="004A6D59" w:rsidTr="004A6D59">
        <w:trPr>
          <w:trHeight w:val="255"/>
        </w:trPr>
        <w:tc>
          <w:tcPr>
            <w:tcW w:w="580" w:type="dxa"/>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78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4A6D59" w:rsidRPr="004A6D59" w:rsidTr="004A6D59">
        <w:trPr>
          <w:trHeight w:val="90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Objek Analisis</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4A6D59" w:rsidRPr="004A6D59" w:rsidTr="004A6D59">
        <w:trPr>
          <w:trHeight w:val="255"/>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1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AIc1</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program peningkatan kapasitas masyarakat adat/lokal dalam perencanaan kehutanan dan wilayah</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AIc2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program peningkatan kapasitas pemerintah dalam perencanaan kehutanan dan wilayah</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78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4A6D59" w:rsidRPr="004A6D59" w:rsidTr="004A6D59">
        <w:trPr>
          <w:trHeight w:val="85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4A6D59" w:rsidRPr="004A6D59" w:rsidTr="004A6D59">
        <w:trPr>
          <w:trHeight w:val="255"/>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nil"/>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02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AId1</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pengaduan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5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AId2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resolusi konflik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resolusi konflik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AId3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Keahlian &amp; pemahaman mediator tentang isu-isu masyarakat adat/lokal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keahlian dan pemahaman mediator tentang isu-isu masyarakat adat/lokal</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33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Isu dalam PGA REDD+</w:t>
            </w:r>
          </w:p>
        </w:tc>
        <w:tc>
          <w:tcPr>
            <w:tcW w:w="678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II.Pengaturan Hak</w:t>
            </w: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4A6D59" w:rsidRPr="004A6D59" w:rsidTr="004A6D59">
        <w:trPr>
          <w:trHeight w:val="63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AIIa1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Ketersediaan seluruh informasi secara sistematis sehingga mudah diakses</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ketersediaan seluruh informasi secara sistematis sehingga mudah diakses di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lastRenderedPageBreak/>
              <w:t>AIIa2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Kewajiban memiliki petugas khusus yang menangani permintaan informasi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kewajiban memiliki petugas khusus yang menangani permintaan informasi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AIIa3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kewajiban pemberian akses bagi publik baik secara proaktif maupun berdasarkan permintaan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AIIa4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informasi yang diumumkan tentang rencana kegiatan/proyek yang disertai dengan dokumen pendukungnya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AIIa5</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batasan atas informasi yang dapat diakses diatur dengan jelas dan didasarkan pada kepentingan publik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AIIa6</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Sanksi bagi pihak-pihak yang sengaja menghambat akses publik atas informasi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sanksi bagi pihak-pihak yang sengaja menghambat akses publik atas informasi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55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4A6D59" w:rsidRPr="004A6D59" w:rsidTr="004A6D59">
        <w:trPr>
          <w:trHeight w:val="36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UU, Permenhut, Perda</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204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AIIb1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pengakuan atas pengelolaan wilayah adat didalam Perbup No. 13 tahun 2010 tentang Tata Cara Penunjukkan Hutan Hak di Kabupaten Kapuas Hulu. Yang ada hanya mengenai hutan hak (hutan yang berada pada tanah yang telah dibebani hak atas tanah yang dibuktikan dengan alas titel atau hak atas tanah, yang lazim disebut hutan rakyat yang di atasnya didominasi oleh pepohonan dalam suatu ekosistem yang ditunjuk oleh Bupati)</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04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AIIb2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mendapatkan izin pengelolaan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Perbup</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Perbup No. 13 tahun 2010 tentang Tata Cara Penunjukkan Hutan Hak di Kabupaten Kapuas Hulu. Dalam peraturan bupati ini terdapat aturan mengenai tata cara permohonan izin hutan hak oleh masyarakat. Terdiri dari persyaratan teknis yang harus dipenuhi oleh pemohon, kemana saja pengajuan permohonan ditujukan, serta proses pengurusannya termasuk berapa lama batas waktu pengurusan di masing-masing instansi. (BAB IV. Permohonan Hutan Hak)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5</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AIIb3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Keuntungan bagi masyarakat Adat/Lokal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Perbup</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Perbup No. 13 tahun 2010 tentang Tata Cara Penunjukkan Hutan Hak di Kabupaten Kapuas Hulu. Tidak mengatur secara jelas tentang keuntungan yang akan diperoleh masyarakat tapi menuliskan apa saja yang bisa dimanfaatkan masyarakat didalam hutan hak nya. (BAB VII. Pemanfaatan Hutan Hak)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3</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58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lastRenderedPageBreak/>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UU, Permenhut, Perda</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AIIc1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Tidak ada aturan mengenai sanksi/ancaman hukum bagi yang melakukan perambahan (diatas lahan hak orang lain) didalam Perbup No. 13 tahun 2010 tentang Tata Cara Penunjukkan Hutan Hak di Kabupaten Kapuas Hulu. </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AIIc2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sanksi/ancaman hukum bagi pejabat pemberi izin diatas lahan yang telah memiliki hak)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AIIc3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Ganti rugi bagi pemegang hak yang dirugikan (mudah &amp; memadai)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ganti rugi bagi pemegang hak yang dirugikan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6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UU, Permenhut, Perda</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AIId1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program peningkatan kapasitas masyarakat adat/lokal untuk mengakses hak pengelolaan hutan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AIId2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Program peningkatan kapasitas pemerintah (pada tingkatan) lebih rendah</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program peningkatan kapasitas pemerintah pada tingkatan lebih rendah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AIId3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mengakses anggaran peningkatan kapasitas bagi masyarakat Adat/Lokal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mekanisme mengakses anggaran peningkatan kapasitas bagi masyarakat adat/lokal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AIId4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mengenai program peningkatan kapasitas masyarakat dan pemda secara partisipatif didalam Perbup No. 13 tahun 2010 tentang Tata Cara Penunjukkan Hutan Hak di Kabupaten Kapuas Hulu</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33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Isu dalam PGA REDD+</w:t>
            </w:r>
          </w:p>
        </w:tc>
        <w:tc>
          <w:tcPr>
            <w:tcW w:w="678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III. Pengorganisasian Hutan</w:t>
            </w: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4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UU, Permenhut</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78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lastRenderedPageBreak/>
              <w:t>AIIIa1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Kejelasan tugas &amp; wewenang pengelolaan hutan &amp; lahan gambut</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Perbup</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Perbup No. 4 Tahun 2012 Tentang Perubahan Atas Peraturan Bupati Kapuas Hulu No. 34 Tahun 2008 Tentang SOTK Disbunhut Kabupaten Kapuas Hulu ; Perbup Bupati No. 34 Tahun 2008 Tentang SOTK Disbunhut (BAB III. Susunan Organisasi. Bagian Kelima : Bidang Pengelolaan Hutan - Bagian Keenam: Bidang Rehabilitasi danPerhutanan Sosial. BAB IV. Tata Kerja)</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3</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AIIIa2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Transparansi output tahunan dan capaian institusi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menjelaskan tentang transparansi output tahunan dan capaian institusi</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AIIIa3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Anggaran berbasis kinerja (Budget based on performance)</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Tidak ada aturan lokal yang menjelaskan tentang anggaran berbasis kinerja </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AIIIa4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(aturan lokal) yang menerangkan tentang desentralisasi ke tingkat yang lebih rendah</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75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:(permenkum-ham) Cek dibiro hukum prov/kab</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AIIIb1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Kejelasan lembaga yang bertanggung jawab</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Perbup</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Perbup No. 4 Tahun 2012 Tentang Perubahan Atas Peraturan Bupati Kapuas Hulu No. 34 Tahun 2008 Tentang SOTK Disbunhut Kabupaten Kapuas Hulu ;  Peraturan Bupati Kapuas Hulu No. 34 Tahun 2008 Tentang SOTK Disbunhut Kabupaten Kapuas Hulu (BAB II. Tugas Pokok dan Fungsi Dinas Perkebunan dan Kehutanan) </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3</w:t>
            </w:r>
          </w:p>
        </w:tc>
      </w:tr>
      <w:tr w:rsidR="004A6D59" w:rsidRPr="004A6D59" w:rsidTr="004A6D59">
        <w:trPr>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AIIIb2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harmonisasi aturan sebelum diundangkan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mengatur tentang mekanisme harmonisasi aturan sebelum diundangkan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76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permenpan/SK Gub/Bup/Inpres 5/2004</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AIIIc1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Keterbukaan proses pengisian posisi strategis</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keterbukaan proses pengisian strategis</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AIIIc2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Penilaian pihak ketiga (independen) dalam proses pemilihan SDM</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penilaian pihak ketiga (independen) dalam proses pemilihan SDM</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AIIIc3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Life Style Checking dan kewajaran harta dengan bantuan PPATK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AIIIc4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Kewajiban verifikasi LHKPN dengan bantuan KPK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kewajiban verifikasi KHKPN dengan bantuan KPK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lastRenderedPageBreak/>
              <w:t>AIIIc5</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Batasan Conflict of Interest &amp; mekanisme yang harus dilakukan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Tidak ada aturan lokal baik itu Perda, Perbub, SK Bupati, Juklak-Juknis yang terkait dengan batasan conflict of interest dan mekanisme yang harus dilakukan </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AIIIc6</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Pembuatan pakta integritas, pemenuhan kode etik dan kontrak kinerja</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pembuatan pakta integritas, pemenuhan kode etik dan kontrak kinerja</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90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4A6D59" w:rsidRPr="004A6D59" w:rsidTr="004A6D59">
        <w:trPr>
          <w:trHeight w:val="36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terkait dengan aturan lain, SK kemenhut/ kejaksaan/Kehakiman/KPK/PPATK, Kemenkeu</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AIIId1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Pembenahan case manage-ment sehingga menutup celah-celah abuse of power</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pembenahan case management sehingga menutup celah-celah abuse of power</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AIIId2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Sistem pengawasan dan pen-disiplinan internal di lembaga penegak hukum</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sistem pengawasan dan pndisiplinan internal di lembaga penegak hukum</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3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AIIId3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Tidak ada aturan lokal baik itu Perda, Perbub, SK Bupati, Juklak-Juknis yang terkait dengan peningkatan kapasitas aparat penegak hukum terkait isu-isu pengelolaan hutan dan lahan gambut secara lestari, kebijakan negara atas masyarakat adat, serta pemanfaatan instrumen hukum lain seperti pajak, korupsi, dan anti pencucian uang untuk memberantas kejahatan kehutanan </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AIIId4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kewajiban koordinasi yang efektif antar aparat penegak hukum terkait dalam isu hutan dan lahan gambut dan penunjukkan leading sector yang jelas</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AIIId5</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Pemenuhan rasio jumlah penegak hukum di bidang kehutanan dan lahan gambut</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pemenuhan rasio jumlah penegak hukum di bidang kehutanan dan lahan gambut</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AIIId6</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insentif dan disinsentif untuk mencapai penaatan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insentif dan idsinsentif untuk mencapai penaatan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33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Isu dalam PGA REDD+</w:t>
            </w:r>
          </w:p>
        </w:tc>
        <w:tc>
          <w:tcPr>
            <w:tcW w:w="678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IV. Pengelolaan Hutan</w:t>
            </w: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79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lastRenderedPageBreak/>
              <w:t>AIVa1</w:t>
            </w:r>
          </w:p>
        </w:tc>
        <w:tc>
          <w:tcPr>
            <w:tcW w:w="2460" w:type="dxa"/>
            <w:vMerge w:val="restart"/>
            <w:tcBorders>
              <w:top w:val="nil"/>
              <w:left w:val="single" w:sz="4" w:space="0" w:color="auto"/>
              <w:bottom w:val="single" w:sz="4" w:space="0" w:color="000000"/>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FF0000"/>
                <w:sz w:val="20"/>
                <w:szCs w:val="20"/>
                <w:lang w:eastAsia="id-ID"/>
              </w:rPr>
            </w:pPr>
            <w:r w:rsidRPr="004A6D59">
              <w:rPr>
                <w:rFonts w:ascii="Times New Roman" w:eastAsia="Times New Roman" w:hAnsi="Times New Roman" w:cs="Times New Roman"/>
                <w:color w:val="FF0000"/>
                <w:sz w:val="20"/>
                <w:szCs w:val="20"/>
                <w:lang w:eastAsia="id-ID"/>
              </w:rPr>
              <w:t>Tidak ada item data dari sumber awal</w:t>
            </w:r>
          </w:p>
        </w:tc>
        <w:tc>
          <w:tcPr>
            <w:tcW w:w="1360" w:type="dxa"/>
            <w:tcBorders>
              <w:top w:val="nil"/>
              <w:left w:val="nil"/>
              <w:bottom w:val="single" w:sz="4" w:space="0" w:color="auto"/>
              <w:right w:val="single" w:sz="4" w:space="0" w:color="auto"/>
            </w:tcBorders>
            <w:shd w:val="clear" w:color="000000" w:fill="FFFF00"/>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w:t>
            </w:r>
          </w:p>
        </w:tc>
        <w:tc>
          <w:tcPr>
            <w:tcW w:w="1620" w:type="dxa"/>
            <w:tcBorders>
              <w:top w:val="nil"/>
              <w:left w:val="nil"/>
              <w:bottom w:val="single" w:sz="4" w:space="0" w:color="auto"/>
              <w:right w:val="single" w:sz="4" w:space="0" w:color="auto"/>
            </w:tcBorders>
            <w:shd w:val="clear" w:color="000000" w:fill="FFFF00"/>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w:t>
            </w:r>
          </w:p>
        </w:tc>
      </w:tr>
      <w:tr w:rsidR="004A6D59" w:rsidRPr="004A6D59" w:rsidTr="004A6D5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AIVa2</w:t>
            </w:r>
          </w:p>
        </w:tc>
        <w:tc>
          <w:tcPr>
            <w:tcW w:w="2460" w:type="dxa"/>
            <w:vMerge/>
            <w:tcBorders>
              <w:top w:val="nil"/>
              <w:left w:val="single" w:sz="4" w:space="0" w:color="auto"/>
              <w:bottom w:val="single" w:sz="4" w:space="0" w:color="000000"/>
              <w:right w:val="single" w:sz="4" w:space="0" w:color="auto"/>
            </w:tcBorders>
            <w:vAlign w:val="center"/>
            <w:hideMark/>
          </w:tcPr>
          <w:p w:rsidR="004A6D59" w:rsidRPr="004A6D59" w:rsidRDefault="004A6D59" w:rsidP="004A6D59">
            <w:pPr>
              <w:spacing w:after="0" w:line="240" w:lineRule="auto"/>
              <w:rPr>
                <w:rFonts w:ascii="Times New Roman" w:eastAsia="Times New Roman" w:hAnsi="Times New Roman" w:cs="Times New Roman"/>
                <w:color w:val="FF0000"/>
                <w:sz w:val="20"/>
                <w:szCs w:val="20"/>
                <w:lang w:eastAsia="id-ID"/>
              </w:rPr>
            </w:pPr>
          </w:p>
        </w:tc>
        <w:tc>
          <w:tcPr>
            <w:tcW w:w="1360" w:type="dxa"/>
            <w:tcBorders>
              <w:top w:val="nil"/>
              <w:left w:val="nil"/>
              <w:bottom w:val="single" w:sz="4" w:space="0" w:color="auto"/>
              <w:right w:val="single" w:sz="4" w:space="0" w:color="auto"/>
            </w:tcBorders>
            <w:shd w:val="clear" w:color="000000" w:fill="FFFF00"/>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w:t>
            </w:r>
          </w:p>
        </w:tc>
        <w:tc>
          <w:tcPr>
            <w:tcW w:w="1620" w:type="dxa"/>
            <w:tcBorders>
              <w:top w:val="nil"/>
              <w:left w:val="nil"/>
              <w:bottom w:val="single" w:sz="4" w:space="0" w:color="auto"/>
              <w:right w:val="single" w:sz="4" w:space="0" w:color="auto"/>
            </w:tcBorders>
            <w:shd w:val="clear" w:color="000000" w:fill="FFFF00"/>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90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SK Menhut/pertanian/ SK/perda-Gub/Bup</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AIVb1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kewajiban menyediakan seluruh informasi dalam kaitannya dengan pengelolaan hutan secara sistematis sehingga mudah diakses</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AIVb2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mewajibkan agar badan publik memiliki petugas khusus yang menangani permintaan informasi</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AIVb3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kewajiban pemberian akses bagi publik baik secara proaktif maupun berdasarkan permintaan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AIVb4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pengumuman informasi tentang rencana kegiatan/proyek yang disertai dengan dokumen pendukungnya</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AIVb5</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Tidak ada aturan lokal baik itu Perda, Perbub, SK Bupati, Juklak-Juknis yang terkait dengan batasan atas informasi yang dapat diakses diatur dengan jelas dan didasarkan pada kepentingan publik </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AIVb6</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Sanksi bagi pihak-pihak yang sengaja menghambat akses publik atas informasi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sanksi bagi pihak-pihak yang sengaja menghambat akses publik atas informasi</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72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SK Menhut/Pertanian, SK/Perda-Gub/Bup</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AIVc1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informasi rencana pemberian izin/pelaksanaan lelang kepada seluruh pihak yang memiliki hak serta pihak yang berkepentingan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lastRenderedPageBreak/>
              <w:t>AIVc2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yang memudahkan bagi seluruh pihak yang berkepentingan untuk dapat terlibat dalam proses pengambilan keputusan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AIVc3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penunjukan satu petugas khusus yang bertanggung jawab mengelola masukan publik dalam proses pemberian izin/pelaksanaan lelang.</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AIVc4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Dokumentasi setiap masukan baik yang tertulis ataupun tidak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dokumentasi setiap masukan baik yang tertulis ataupun tidak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AIVc5</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Pemberian respon yang bersifat terbuka atas setiap masukan yang ada</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pemberian respon yang bersifat terbuka atas setiap masukan yang ada</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AIVc6</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Pemberian penjelasan atas keputusan akhir yang diambil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pemberian penjelasan atas keputusan akhir yang diambil</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90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AIVd1</w:t>
            </w:r>
          </w:p>
        </w:tc>
        <w:tc>
          <w:tcPr>
            <w:tcW w:w="2460" w:type="dxa"/>
            <w:vMerge w:val="restart"/>
            <w:tcBorders>
              <w:top w:val="nil"/>
              <w:left w:val="single" w:sz="4" w:space="0" w:color="auto"/>
              <w:bottom w:val="single" w:sz="4" w:space="0" w:color="000000"/>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FF0000"/>
                <w:sz w:val="20"/>
                <w:szCs w:val="20"/>
                <w:lang w:eastAsia="id-ID"/>
              </w:rPr>
            </w:pPr>
            <w:r w:rsidRPr="004A6D59">
              <w:rPr>
                <w:rFonts w:ascii="Times New Roman" w:eastAsia="Times New Roman" w:hAnsi="Times New Roman" w:cs="Times New Roman"/>
                <w:color w:val="FF0000"/>
                <w:sz w:val="20"/>
                <w:szCs w:val="20"/>
                <w:lang w:eastAsia="id-ID"/>
              </w:rPr>
              <w:t>Tidak ada item data dari sumber awal</w:t>
            </w:r>
          </w:p>
        </w:tc>
        <w:tc>
          <w:tcPr>
            <w:tcW w:w="1360" w:type="dxa"/>
            <w:tcBorders>
              <w:top w:val="nil"/>
              <w:left w:val="nil"/>
              <w:bottom w:val="single" w:sz="4" w:space="0" w:color="auto"/>
              <w:right w:val="single" w:sz="4" w:space="0" w:color="auto"/>
            </w:tcBorders>
            <w:shd w:val="clear" w:color="000000" w:fill="FFFF00"/>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w:t>
            </w:r>
          </w:p>
        </w:tc>
        <w:tc>
          <w:tcPr>
            <w:tcW w:w="1620" w:type="dxa"/>
            <w:tcBorders>
              <w:top w:val="nil"/>
              <w:left w:val="nil"/>
              <w:bottom w:val="single" w:sz="4" w:space="0" w:color="auto"/>
              <w:right w:val="single" w:sz="4" w:space="0" w:color="auto"/>
            </w:tcBorders>
            <w:shd w:val="clear" w:color="000000" w:fill="FFFF00"/>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w:t>
            </w:r>
          </w:p>
        </w:tc>
      </w:tr>
      <w:tr w:rsidR="004A6D59" w:rsidRPr="004A6D59" w:rsidTr="004A6D5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AIVd2</w:t>
            </w:r>
          </w:p>
        </w:tc>
        <w:tc>
          <w:tcPr>
            <w:tcW w:w="2460" w:type="dxa"/>
            <w:vMerge/>
            <w:tcBorders>
              <w:top w:val="nil"/>
              <w:left w:val="single" w:sz="4" w:space="0" w:color="auto"/>
              <w:bottom w:val="single" w:sz="4" w:space="0" w:color="000000"/>
              <w:right w:val="single" w:sz="4" w:space="0" w:color="auto"/>
            </w:tcBorders>
            <w:vAlign w:val="center"/>
            <w:hideMark/>
          </w:tcPr>
          <w:p w:rsidR="004A6D59" w:rsidRPr="004A6D59" w:rsidRDefault="004A6D59" w:rsidP="004A6D59">
            <w:pPr>
              <w:spacing w:after="0" w:line="240" w:lineRule="auto"/>
              <w:rPr>
                <w:rFonts w:ascii="Times New Roman" w:eastAsia="Times New Roman" w:hAnsi="Times New Roman" w:cs="Times New Roman"/>
                <w:color w:val="FF0000"/>
                <w:sz w:val="20"/>
                <w:szCs w:val="20"/>
                <w:lang w:eastAsia="id-ID"/>
              </w:rPr>
            </w:pPr>
          </w:p>
        </w:tc>
        <w:tc>
          <w:tcPr>
            <w:tcW w:w="1360" w:type="dxa"/>
            <w:tcBorders>
              <w:top w:val="nil"/>
              <w:left w:val="nil"/>
              <w:bottom w:val="single" w:sz="4" w:space="0" w:color="auto"/>
              <w:right w:val="single" w:sz="4" w:space="0" w:color="auto"/>
            </w:tcBorders>
            <w:shd w:val="clear" w:color="000000" w:fill="FFFF00"/>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w:t>
            </w:r>
          </w:p>
        </w:tc>
        <w:tc>
          <w:tcPr>
            <w:tcW w:w="1620" w:type="dxa"/>
            <w:tcBorders>
              <w:top w:val="nil"/>
              <w:left w:val="nil"/>
              <w:bottom w:val="single" w:sz="4" w:space="0" w:color="auto"/>
              <w:right w:val="single" w:sz="4" w:space="0" w:color="auto"/>
            </w:tcBorders>
            <w:shd w:val="clear" w:color="000000" w:fill="FFFF00"/>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AIVe1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pengaduan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AIVe2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resolusi konflik dan penyelesaian sengketa</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Tidak ada aturan lokal baik itu Perda, Perbub, SK Bupati, Juklak-Juknis yang terkait dengan mekanisme resolusi konflik dan penyelesaian sengketa </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AIVe3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Mediator memiliki keahlian dan pemahaman tentang isu-isu adat/masyarakat lokal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mediator memiliki keahlian dan pemahaman tentang isu-isu adat/masyarakat lokal</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AIVe4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pengawasan eksternal atas kinerja penegak hukum dalam menindaklanjuti pengaduan masyarakat</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33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Isu dalam PGA REDD+</w:t>
            </w:r>
          </w:p>
        </w:tc>
        <w:tc>
          <w:tcPr>
            <w:tcW w:w="678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V. Pengorganisasian Hutan</w:t>
            </w: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lastRenderedPageBreak/>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SK Menhut/Gub/Bu</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AVa1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ketersediaan seluruh informasi secara sistematis dalam kaitannya dengan pengawasan internal dan eksternal</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AVa2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aturan yang mewajibkan pemberian akses bagi publik baik secara proaktif maupun berdasarkan permintaan dalam tahap pengawasan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AVa3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batasan atas informasi yang dapat diakses diatur dengan jelas dan didasarkan pada kepentingan publik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AVa4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sanksi bagi pihak-pihak yang sengaja menghambat akses publik atas informasi</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Per/SK menhut/Gub/Bup</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AVb1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Tidak ada aturan lokal baik itu Perda, Perbub, SK Bupati, Juklak-Juknis yang terkait dengan informasi pelaksanaan kegiatan untuk memperjelas masukan publik atas suatu kasus </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AVb2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penerimaan pengaduan memudahkan bagi seluruh pihak untuk menyampaikan pengaduan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AVb3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Dokumentasi setiap laporan pengaduan baik yang tertulis ataupun tidak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dokumentasi setiap laporan pengaduan baik yang tertulis maupun tidak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AVb4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penerimaan pengaduan memiliki jangka waktu yang jelas atas respon yang akan diberikan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lastRenderedPageBreak/>
              <w:t>AVb5</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mekanisme penerimaan pengaduan menawarkan kemudahan dan kejelasan pihak yang dikontak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AVb6</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penunjukkan satu petugas khusus yang bertanggung jawab mengelola masukan publik dalam proses pengawasan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4A6D59">
              <w:rPr>
                <w:rFonts w:ascii="Times New Roman" w:eastAsia="Times New Roman" w:hAnsi="Times New Roman" w:cs="Times New Roman"/>
                <w:b/>
                <w:bCs/>
                <w:color w:val="000000"/>
                <w:sz w:val="20"/>
                <w:szCs w:val="20"/>
                <w:lang w:eastAsia="id-ID"/>
              </w:rPr>
              <w:br/>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AVc1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 xml:space="preserve">Pada sebagian masyarakat adat terdapat kearifan lokal yang memang menekankan untuk menjaga keseimbangan lingkungan sehingga masyarakat tidak melakukan eksploitasi sesuka hatinya. </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AVc2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aturannya makanya anggarannya tidak ada</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57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4A6D59">
              <w:rPr>
                <w:rFonts w:ascii="Times New Roman" w:eastAsia="Times New Roman" w:hAnsi="Times New Roman" w:cs="Times New Roman"/>
                <w:b/>
                <w:bCs/>
                <w:color w:val="000000"/>
                <w:sz w:val="20"/>
                <w:szCs w:val="20"/>
                <w:lang w:eastAsia="id-ID"/>
              </w:rPr>
              <w:br/>
            </w:r>
            <w:r w:rsidRPr="004A6D59">
              <w:rPr>
                <w:rFonts w:ascii="Times New Roman" w:eastAsia="Times New Roman" w:hAnsi="Times New Roman" w:cs="Times New Roman"/>
                <w:b/>
                <w:bCs/>
                <w:color w:val="000000"/>
                <w:sz w:val="20"/>
                <w:szCs w:val="20"/>
                <w:lang w:eastAsia="id-ID"/>
              </w:rPr>
              <w:br/>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AVd1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Pelaksanaan perbaikan sistem secara partisipatif dari rekomendasi BPK dan KPK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pelaksanaan perbaikan sistem secara partisipatif dari rekomendasi BPK dan KPK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4A6D59">
              <w:rPr>
                <w:rFonts w:ascii="Times New Roman" w:eastAsia="Times New Roman" w:hAnsi="Times New Roman" w:cs="Times New Roman"/>
                <w:b/>
                <w:bCs/>
                <w:color w:val="000000"/>
                <w:sz w:val="20"/>
                <w:szCs w:val="20"/>
                <w:lang w:eastAsia="id-ID"/>
              </w:rPr>
              <w:br/>
            </w:r>
            <w:r w:rsidRPr="004A6D59">
              <w:rPr>
                <w:rFonts w:ascii="Times New Roman" w:eastAsia="Times New Roman" w:hAnsi="Times New Roman" w:cs="Times New Roman"/>
                <w:b/>
                <w:bCs/>
                <w:color w:val="000000"/>
                <w:sz w:val="20"/>
                <w:szCs w:val="20"/>
                <w:lang w:eastAsia="id-ID"/>
              </w:rPr>
              <w:br/>
            </w:r>
            <w:r w:rsidRPr="004A6D59">
              <w:rPr>
                <w:rFonts w:ascii="Times New Roman" w:eastAsia="Times New Roman" w:hAnsi="Times New Roman" w:cs="Times New Roman"/>
                <w:b/>
                <w:bCs/>
                <w:color w:val="000000"/>
                <w:sz w:val="20"/>
                <w:szCs w:val="20"/>
                <w:lang w:eastAsia="id-ID"/>
              </w:rPr>
              <w:br/>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aturan KLH-kehutanan (satgas illegal loging)</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lastRenderedPageBreak/>
              <w:t>AVe1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aturan lokal baik itu Perda, Perbub, SK Bupati, Juklak-Juknis yang terkait dengan pendekatan multi door approach antara lain terdiri dari pendekatan pidana korupsi, anti money loundering, pidana pajak, dan pidana lingkungan hidup</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33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Isu dalam PGA REDD+</w:t>
            </w:r>
          </w:p>
        </w:tc>
        <w:tc>
          <w:tcPr>
            <w:tcW w:w="678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IV. Infrastruktur REDD+</w:t>
            </w: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55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4A6D59" w:rsidRPr="004A6D59" w:rsidTr="004A6D59">
        <w:trPr>
          <w:trHeight w:val="39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8400" w:type="dxa"/>
            <w:gridSpan w:val="3"/>
            <w:tcBorders>
              <w:top w:val="nil"/>
              <w:left w:val="nil"/>
              <w:bottom w:val="single" w:sz="4" w:space="0" w:color="auto"/>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(UKP4, Permenhut, Perda/SK Gub/Bup)</w:t>
            </w:r>
            <w:r w:rsidRPr="004A6D59">
              <w:rPr>
                <w:rFonts w:ascii="Times New Roman" w:eastAsia="Times New Roman" w:hAnsi="Times New Roman" w:cs="Times New Roman"/>
                <w:b/>
                <w:bCs/>
                <w:color w:val="000000"/>
                <w:sz w:val="20"/>
                <w:szCs w:val="20"/>
                <w:lang w:eastAsia="id-ID"/>
              </w:rPr>
              <w:br/>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AVIa1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menunjukkan ketersediaan seluruh informasi dalam kaitannya dengan proses pembentukan nfrastruktur, pelaksanaan dan pengawasan REDD+. Sebab REDD+ di Kpuas Hulu baru ingin diujicoba bekerjasama dengan GIZ dan KFW</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AVIa2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menjeaskan kewajiban agar badan publik memiliki petugas khusus yang menangani permintaan informasi publik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AVIa3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mengatur pemberian akses bagi publik baik secara proaktif maupun berdasarkan permintaan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AVIa4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mengatur tentang batasan informasi yang dapat diakses</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AVIa5</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Sanksi bagi pihak-pihak yang sengaja menghambat akses publik atas informasi</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mengatur sanksi bagi pihak-pihak yang sengaja menghambat akses publik atas informasi</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4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AVIb1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terkait penyampaian  informasi atas rencana pembentukan peraturan/kebijakan terkait REDD+ kepada seluruh pihak yg memiliki hak serta pihak yg berkepentingan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lastRenderedPageBreak/>
              <w:t>AVIb2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terkait mekanisme yang memudahkan bagi seluruh pihak yang berkepentingan untuk dapat terlibat dalam proses pengambilan keputusan</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AVIb3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terkait penunjukan satu petugas khusus yang bertanggungjawab mengelola masukan publik dalam proses pembentukan kebijakan terkait REDD+;</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AVIb4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Dokumentasi setiap masukan baik yang tertulis ataupun tidak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mengatur tentang dokumentasi setiap masukan baik yang tertulis ataupun tidak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1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AVIb5</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mengenai pemberian respon yang bersifat terbuka atas setiap masukan yang ada (metode umpan balik)</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AVIb6</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Penjelasan atas keputusan akhir yang diambil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terkait penjelasan atas keputusan akhir yang diambil</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AVIb7</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mengatur pelaksanakan seluruh proses partisipasi dalam waktu yang cukup, (minimum 45 hari kerja)</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58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28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AVIc1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terkait mekanisme pengaduan masyarakat yang memudahkan bagi seluruh pihak (termasuk competitors) untuk menyampaikan pengaduan dan mendapatkan kejelasan tindakan yang telah diambil atas pengaduan yang disampaikan dalam jangka waktu yang jelas</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AVIc2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terkait mekanisme resolusi konflik dan penyelesaian sengketa melalui jalur perundingan apabila terdapat perbedaan pandangan yg tajam atas suatu hal</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AVIc3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Jasa mediator yang memiliki keahlian dan pemahaman tentang isu-isu adat</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terkait jasa mediator yang memiliki keahlian dan pemahaman tentang isu-isu adat</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0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lastRenderedPageBreak/>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4A6D59">
              <w:rPr>
                <w:rFonts w:ascii="Times New Roman" w:eastAsia="Times New Roman" w:hAnsi="Times New Roman" w:cs="Times New Roman"/>
                <w:b/>
                <w:bCs/>
                <w:color w:val="000000"/>
                <w:sz w:val="20"/>
                <w:szCs w:val="20"/>
                <w:lang w:eastAsia="id-ID"/>
              </w:rPr>
              <w:br/>
              <w:t xml:space="preserve"> </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AVId1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terkait program untuk meningkatkan kapasitas masyarakat adat/lokal untuk untuk memahami REDD+ serta pilihan-pilihan kebijakan yang ada</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AVId2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terkait program untuk peningkatan kapasitas pemerintahan yang lebih rendah untuk memahami REDD+ serta pilihan-pilihan kebijakan yang ada</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600"/>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4A6D59">
              <w:rPr>
                <w:rFonts w:ascii="Times New Roman" w:eastAsia="Times New Roman" w:hAnsi="Times New Roman" w:cs="Times New Roman"/>
                <w:b/>
                <w:bCs/>
                <w:color w:val="000000"/>
                <w:sz w:val="20"/>
                <w:szCs w:val="20"/>
                <w:lang w:eastAsia="id-ID"/>
              </w:rPr>
              <w:br/>
              <w:t xml:space="preserve"> </w:t>
            </w:r>
            <w:r w:rsidRPr="004A6D59">
              <w:rPr>
                <w:rFonts w:ascii="Times New Roman" w:eastAsia="Times New Roman" w:hAnsi="Times New Roman" w:cs="Times New Roman"/>
                <w:b/>
                <w:bCs/>
                <w:color w:val="000000"/>
                <w:sz w:val="20"/>
                <w:szCs w:val="20"/>
                <w:lang w:eastAsia="id-ID"/>
              </w:rPr>
              <w:br/>
              <w:t xml:space="preserve"> </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AVIe1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Pelaksanaan perbaikan sistem berdasarkan rekomendasi BPK secara partisipatif</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terkait pelaksanaan perbaikan sistem berdasarkan rekomendasi BPK secara partisipatif</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255"/>
        </w:trPr>
        <w:tc>
          <w:tcPr>
            <w:tcW w:w="58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24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p>
        </w:tc>
        <w:tc>
          <w:tcPr>
            <w:tcW w:w="1620" w:type="dxa"/>
            <w:tcBorders>
              <w:top w:val="nil"/>
              <w:left w:val="nil"/>
              <w:bottom w:val="nil"/>
              <w:right w:val="nil"/>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p>
        </w:tc>
      </w:tr>
      <w:tr w:rsidR="004A6D59" w:rsidRPr="004A6D59" w:rsidTr="004A6D59">
        <w:trPr>
          <w:trHeight w:val="585"/>
        </w:trPr>
        <w:tc>
          <w:tcPr>
            <w:tcW w:w="3040" w:type="dxa"/>
            <w:gridSpan w:val="2"/>
            <w:tcBorders>
              <w:top w:val="nil"/>
              <w:left w:val="nil"/>
              <w:bottom w:val="nil"/>
              <w:right w:val="nil"/>
            </w:tcBorders>
            <w:shd w:val="clear" w:color="auto" w:fill="auto"/>
            <w:noWrap/>
            <w:vAlign w:val="center"/>
            <w:hideMark/>
          </w:tcPr>
          <w:p w:rsidR="004A6D59" w:rsidRPr="004A6D59" w:rsidRDefault="004A6D59" w:rsidP="004A6D59">
            <w:pPr>
              <w:spacing w:after="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Indikator</w:t>
            </w:r>
          </w:p>
        </w:tc>
        <w:tc>
          <w:tcPr>
            <w:tcW w:w="8400" w:type="dxa"/>
            <w:gridSpan w:val="3"/>
            <w:tcBorders>
              <w:top w:val="nil"/>
              <w:left w:val="nil"/>
              <w:bottom w:val="nil"/>
              <w:right w:val="nil"/>
            </w:tcBorders>
            <w:shd w:val="clear" w:color="auto" w:fill="auto"/>
            <w:vAlign w:val="center"/>
            <w:hideMark/>
          </w:tcPr>
          <w:p w:rsidR="004A6D59" w:rsidRPr="004A6D59" w:rsidRDefault="004A6D59" w:rsidP="004A6D59">
            <w:pPr>
              <w:spacing w:after="240" w:line="240" w:lineRule="auto"/>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4A6D59">
              <w:rPr>
                <w:rFonts w:ascii="Times New Roman" w:eastAsia="Times New Roman" w:hAnsi="Times New Roman" w:cs="Times New Roman"/>
                <w:b/>
                <w:bCs/>
                <w:color w:val="000000"/>
                <w:sz w:val="20"/>
                <w:szCs w:val="20"/>
                <w:lang w:eastAsia="id-ID"/>
              </w:rPr>
              <w:br/>
              <w:t xml:space="preserve"> </w:t>
            </w:r>
          </w:p>
        </w:tc>
      </w:tr>
      <w:tr w:rsidR="004A6D59" w:rsidRPr="004A6D59" w:rsidTr="004A6D59">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Kode</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Item Data</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color w:val="000000"/>
                <w:sz w:val="20"/>
                <w:szCs w:val="20"/>
                <w:lang w:eastAsia="id-ID"/>
              </w:rPr>
            </w:pPr>
            <w:r w:rsidRPr="004A6D59">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Sumber Dokumen Hukum dan Kebijakan</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b/>
                <w:bCs/>
                <w:sz w:val="20"/>
                <w:szCs w:val="20"/>
                <w:lang w:eastAsia="id-ID"/>
              </w:rPr>
            </w:pPr>
            <w:r w:rsidRPr="004A6D59">
              <w:rPr>
                <w:rFonts w:ascii="Times New Roman" w:eastAsia="Times New Roman" w:hAnsi="Times New Roman" w:cs="Times New Roman"/>
                <w:b/>
                <w:bCs/>
                <w:sz w:val="20"/>
                <w:szCs w:val="20"/>
                <w:lang w:eastAsia="id-ID"/>
              </w:rPr>
              <w:t>Kategori Data</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AVIf1</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mengatur mekanisme pengaduan yang sederhana, memilik tenggat waktu yang jelas serta kejelasan tindakan yang telah diambil</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7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AVIf2</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mengatur mengenai mekanisme resolusi konflik dan penyelesaian sengketa melalui jalur perundingan</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AVIf3</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3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mewajibkan mediator yang disediakan untuk memiliki keahlian dan pemahaman tentang isu-isu adat/masyarakat lokal</w:t>
            </w:r>
          </w:p>
        </w:tc>
        <w:tc>
          <w:tcPr>
            <w:tcW w:w="16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r w:rsidR="004A6D59" w:rsidRPr="004A6D59" w:rsidTr="004A6D59">
        <w:trPr>
          <w:trHeight w:val="127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AVIf4</w:t>
            </w:r>
          </w:p>
        </w:tc>
        <w:tc>
          <w:tcPr>
            <w:tcW w:w="246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36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color w:val="000000"/>
                <w:sz w:val="20"/>
                <w:szCs w:val="20"/>
                <w:lang w:eastAsia="id-ID"/>
              </w:rPr>
            </w:pPr>
            <w:r w:rsidRPr="004A6D59">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4A6D59" w:rsidRPr="004A6D59" w:rsidRDefault="004A6D59" w:rsidP="004A6D59">
            <w:pPr>
              <w:spacing w:after="0" w:line="240" w:lineRule="auto"/>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Tidak ada dokumen yang mengatur mekanisme pengawasan eksternal atas kinerja penegak hukum dalam menindaklanjuti pengaduan masyarakat</w:t>
            </w:r>
          </w:p>
        </w:tc>
        <w:tc>
          <w:tcPr>
            <w:tcW w:w="1620" w:type="dxa"/>
            <w:tcBorders>
              <w:top w:val="nil"/>
              <w:left w:val="nil"/>
              <w:bottom w:val="single" w:sz="4" w:space="0" w:color="auto"/>
              <w:right w:val="single" w:sz="4" w:space="0" w:color="auto"/>
            </w:tcBorders>
            <w:shd w:val="clear" w:color="auto" w:fill="auto"/>
            <w:noWrap/>
            <w:vAlign w:val="center"/>
            <w:hideMark/>
          </w:tcPr>
          <w:p w:rsidR="004A6D59" w:rsidRPr="004A6D59" w:rsidRDefault="004A6D59" w:rsidP="004A6D59">
            <w:pPr>
              <w:spacing w:after="0" w:line="240" w:lineRule="auto"/>
              <w:jc w:val="center"/>
              <w:rPr>
                <w:rFonts w:ascii="Times New Roman" w:eastAsia="Times New Roman" w:hAnsi="Times New Roman" w:cs="Times New Roman"/>
                <w:sz w:val="20"/>
                <w:szCs w:val="20"/>
                <w:lang w:eastAsia="id-ID"/>
              </w:rPr>
            </w:pPr>
            <w:r w:rsidRPr="004A6D59">
              <w:rPr>
                <w:rFonts w:ascii="Times New Roman" w:eastAsia="Times New Roman" w:hAnsi="Times New Roman" w:cs="Times New Roman"/>
                <w:sz w:val="20"/>
                <w:szCs w:val="20"/>
                <w:lang w:eastAsia="id-ID"/>
              </w:rPr>
              <w:t>1</w:t>
            </w:r>
          </w:p>
        </w:tc>
      </w:tr>
    </w:tbl>
    <w:p w:rsidR="004A6D59" w:rsidRDefault="004A6D59"/>
    <w:sectPr w:rsidR="004A6D5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4165D1"/>
    <w:rsid w:val="004A6D59"/>
    <w:rsid w:val="006E5970"/>
    <w:rsid w:val="009069B2"/>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4A6D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90">
    <w:name w:val="xl90"/>
    <w:basedOn w:val="Normal"/>
    <w:rsid w:val="004A6D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91">
    <w:name w:val="xl91"/>
    <w:basedOn w:val="Normal"/>
    <w:rsid w:val="004A6D5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92">
    <w:name w:val="xl92"/>
    <w:basedOn w:val="Normal"/>
    <w:rsid w:val="004A6D5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93">
    <w:name w:val="xl93"/>
    <w:basedOn w:val="Normal"/>
    <w:rsid w:val="004A6D5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94">
    <w:name w:val="xl94"/>
    <w:basedOn w:val="Normal"/>
    <w:rsid w:val="004A6D59"/>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s>
</file>

<file path=word/webSettings.xml><?xml version="1.0" encoding="utf-8"?>
<w:webSettings xmlns:r="http://schemas.openxmlformats.org/officeDocument/2006/relationships" xmlns:w="http://schemas.openxmlformats.org/wordprocessingml/2006/main">
  <w:divs>
    <w:div w:id="12153919">
      <w:bodyDiv w:val="1"/>
      <w:marLeft w:val="0"/>
      <w:marRight w:val="0"/>
      <w:marTop w:val="0"/>
      <w:marBottom w:val="0"/>
      <w:divBdr>
        <w:top w:val="none" w:sz="0" w:space="0" w:color="auto"/>
        <w:left w:val="none" w:sz="0" w:space="0" w:color="auto"/>
        <w:bottom w:val="none" w:sz="0" w:space="0" w:color="auto"/>
        <w:right w:val="none" w:sz="0" w:space="0" w:color="auto"/>
      </w:divBdr>
    </w:div>
    <w:div w:id="126315531">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5455</Words>
  <Characters>31096</Characters>
  <Application>Microsoft Office Word</Application>
  <DocSecurity>0</DocSecurity>
  <Lines>259</Lines>
  <Paragraphs>72</Paragraphs>
  <ScaleCrop>false</ScaleCrop>
  <Company/>
  <LinksUpToDate>false</LinksUpToDate>
  <CharactersWithSpaces>36479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2012-10-16T04:57:00Z</dcterms:modified>
</cp:coreProperties>
</file>